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127E" w:rsidRPr="00F9127E" w:rsidRDefault="00F9127E" w:rsidP="00F9127E">
      <w:pPr>
        <w:textAlignment w:val="baseline"/>
        <w:rPr>
          <w:rFonts w:ascii="Helvetica" w:eastAsia="Times New Roman" w:hAnsi="Helvetica" w:cs="Times New Roman"/>
          <w:b/>
          <w:bCs/>
          <w:color w:val="373739"/>
          <w:sz w:val="21"/>
          <w:szCs w:val="21"/>
        </w:rPr>
      </w:pPr>
      <w:r w:rsidRPr="00F9127E">
        <w:rPr>
          <w:rFonts w:ascii="inherit" w:eastAsia="Times New Roman" w:hAnsi="inherit" w:cs="Times New Roman"/>
          <w:b/>
          <w:bCs/>
          <w:color w:val="373739"/>
          <w:sz w:val="21"/>
          <w:szCs w:val="21"/>
          <w:bdr w:val="none" w:sz="0" w:space="0" w:color="auto" w:frame="1"/>
        </w:rPr>
        <w:t>Venue—Choice of Forum</w:t>
      </w:r>
    </w:p>
    <w:p w:rsidR="00F9127E" w:rsidRPr="00F9127E" w:rsidRDefault="00F9127E" w:rsidP="00F9127E">
      <w:pPr>
        <w:textAlignment w:val="baseline"/>
        <w:rPr>
          <w:rFonts w:ascii="Helvetica" w:eastAsia="Times New Roman" w:hAnsi="Helvetica" w:cs="Times New Roman"/>
          <w:color w:val="373739"/>
          <w:sz w:val="21"/>
          <w:szCs w:val="21"/>
        </w:rPr>
      </w:pPr>
      <w:r w:rsidRPr="00F9127E">
        <w:rPr>
          <w:rFonts w:ascii="Helvetica" w:eastAsia="Times New Roman" w:hAnsi="Helvetica" w:cs="Times New Roman"/>
          <w:color w:val="373739"/>
          <w:sz w:val="21"/>
          <w:szCs w:val="21"/>
        </w:rPr>
        <w:t>The federal </w:t>
      </w:r>
      <w:r w:rsidRPr="00F9127E">
        <w:rPr>
          <w:rFonts w:ascii="inherit" w:eastAsia="Times New Roman" w:hAnsi="inherit" w:cs="Times New Roman"/>
          <w:b/>
          <w:bCs/>
          <w:color w:val="373739"/>
          <w:sz w:val="21"/>
          <w:szCs w:val="21"/>
          <w:bdr w:val="none" w:sz="0" w:space="0" w:color="auto" w:frame="1"/>
        </w:rPr>
        <w:t>habeas</w:t>
      </w:r>
      <w:r w:rsidRPr="00F9127E">
        <w:rPr>
          <w:rFonts w:ascii="Helvetica" w:eastAsia="Times New Roman" w:hAnsi="Helvetica" w:cs="Times New Roman"/>
          <w:color w:val="373739"/>
          <w:sz w:val="21"/>
          <w:szCs w:val="21"/>
        </w:rPr>
        <w:t> corpus statute broadly confers jurisdiction on the Supreme Court, any justice thereof, the district courts, and any circuit judge within their respective jurisdictions. In practice, however, </w:t>
      </w:r>
      <w:r w:rsidRPr="00F9127E">
        <w:rPr>
          <w:rFonts w:ascii="inherit" w:eastAsia="Times New Roman" w:hAnsi="inherit" w:cs="Times New Roman"/>
          <w:b/>
          <w:bCs/>
          <w:color w:val="373739"/>
          <w:sz w:val="21"/>
          <w:szCs w:val="21"/>
          <w:bdr w:val="none" w:sz="0" w:space="0" w:color="auto" w:frame="1"/>
        </w:rPr>
        <w:t>habeas</w:t>
      </w:r>
      <w:r w:rsidRPr="00F9127E">
        <w:rPr>
          <w:rFonts w:ascii="Helvetica" w:eastAsia="Times New Roman" w:hAnsi="Helvetica" w:cs="Times New Roman"/>
          <w:color w:val="373739"/>
          <w:sz w:val="21"/>
          <w:szCs w:val="21"/>
        </w:rPr>
        <w:t> corpus proceedings almost invariably originate in the district courts, as other judicial agencies mentioned in the statute will intervene only upon a strong showing of reasons for not applying to the district court.</w:t>
      </w:r>
    </w:p>
    <w:p w:rsidR="00F9127E" w:rsidRPr="00F9127E" w:rsidRDefault="00F9127E" w:rsidP="00F9127E">
      <w:pPr>
        <w:textAlignment w:val="baseline"/>
        <w:rPr>
          <w:rFonts w:ascii="Helvetica" w:eastAsia="Times New Roman" w:hAnsi="Helvetica" w:cs="Times New Roman"/>
          <w:color w:val="373739"/>
          <w:sz w:val="21"/>
          <w:szCs w:val="21"/>
        </w:rPr>
      </w:pPr>
      <w:r w:rsidRPr="00F9127E">
        <w:rPr>
          <w:rFonts w:ascii="Helvetica" w:eastAsia="Times New Roman" w:hAnsi="Helvetica" w:cs="Times New Roman"/>
          <w:color w:val="373739"/>
          <w:sz w:val="21"/>
          <w:szCs w:val="21"/>
        </w:rPr>
        <w:t>A district court’s </w:t>
      </w:r>
      <w:r w:rsidRPr="00F9127E">
        <w:rPr>
          <w:rFonts w:ascii="inherit" w:eastAsia="Times New Roman" w:hAnsi="inherit" w:cs="Times New Roman"/>
          <w:b/>
          <w:bCs/>
          <w:color w:val="373739"/>
          <w:sz w:val="21"/>
          <w:szCs w:val="21"/>
          <w:bdr w:val="none" w:sz="0" w:space="0" w:color="auto" w:frame="1"/>
        </w:rPr>
        <w:t>habeas</w:t>
      </w:r>
      <w:r w:rsidRPr="00F9127E">
        <w:rPr>
          <w:rFonts w:ascii="Helvetica" w:eastAsia="Times New Roman" w:hAnsi="Helvetica" w:cs="Times New Roman"/>
          <w:color w:val="373739"/>
          <w:sz w:val="21"/>
          <w:szCs w:val="21"/>
        </w:rPr>
        <w:t> jurisdiction is not limited to cases where the petitioner is confined within its territorial jurisdiction. This rule is motivated in part by a desire to ensure that disputes can be resolved in the most convenient forum and in part to avoid the disproportionate burden on districts in which large numbers of prisoners are confined.</w:t>
      </w:r>
    </w:p>
    <w:p w:rsidR="00F9127E" w:rsidRPr="00F9127E" w:rsidRDefault="00F9127E" w:rsidP="00F9127E">
      <w:pPr>
        <w:textAlignment w:val="baseline"/>
        <w:rPr>
          <w:rFonts w:ascii="Helvetica" w:eastAsia="Times New Roman" w:hAnsi="Helvetica" w:cs="Times New Roman"/>
          <w:color w:val="373739"/>
          <w:sz w:val="21"/>
          <w:szCs w:val="21"/>
        </w:rPr>
      </w:pPr>
      <w:r w:rsidRPr="00F9127E">
        <w:rPr>
          <w:rFonts w:ascii="Helvetica" w:eastAsia="Times New Roman" w:hAnsi="Helvetica" w:cs="Times New Roman"/>
          <w:color w:val="373739"/>
          <w:sz w:val="21"/>
          <w:szCs w:val="21"/>
        </w:rPr>
        <w:t>Several courts have considered combinations of the following factors to find proper venue in a district court that normally lacks jurisdiction over the location where the petitioner is in custody:</w:t>
      </w:r>
    </w:p>
    <w:p w:rsidR="00F9127E" w:rsidRPr="00F9127E" w:rsidRDefault="00F9127E" w:rsidP="00F9127E">
      <w:pPr>
        <w:numPr>
          <w:ilvl w:val="0"/>
          <w:numId w:val="1"/>
        </w:numPr>
        <w:ind w:left="0"/>
        <w:textAlignment w:val="baseline"/>
        <w:rPr>
          <w:rFonts w:ascii="inherit" w:eastAsia="Times New Roman" w:hAnsi="inherit" w:cs="Times New Roman"/>
          <w:color w:val="373739"/>
          <w:sz w:val="21"/>
          <w:szCs w:val="21"/>
        </w:rPr>
      </w:pPr>
      <w:r w:rsidRPr="00F9127E">
        <w:rPr>
          <w:rFonts w:ascii="inherit" w:eastAsia="Times New Roman" w:hAnsi="inherit" w:cs="Times New Roman"/>
          <w:color w:val="373739"/>
          <w:sz w:val="21"/>
          <w:szCs w:val="21"/>
          <w:bdr w:val="none" w:sz="0" w:space="0" w:color="auto" w:frame="1"/>
        </w:rPr>
        <w:t>•The petitioner lived and continues to have family in or near the district;</w:t>
      </w:r>
    </w:p>
    <w:p w:rsidR="00F9127E" w:rsidRPr="00F9127E" w:rsidRDefault="00F9127E" w:rsidP="00F9127E">
      <w:pPr>
        <w:numPr>
          <w:ilvl w:val="0"/>
          <w:numId w:val="1"/>
        </w:numPr>
        <w:ind w:left="0"/>
        <w:textAlignment w:val="baseline"/>
        <w:rPr>
          <w:rFonts w:ascii="inherit" w:eastAsia="Times New Roman" w:hAnsi="inherit" w:cs="Times New Roman"/>
          <w:color w:val="373739"/>
          <w:sz w:val="21"/>
          <w:szCs w:val="21"/>
        </w:rPr>
      </w:pPr>
      <w:r w:rsidRPr="00F9127E">
        <w:rPr>
          <w:rFonts w:ascii="inherit" w:eastAsia="Times New Roman" w:hAnsi="inherit" w:cs="Times New Roman"/>
          <w:color w:val="373739"/>
          <w:sz w:val="21"/>
          <w:szCs w:val="21"/>
          <w:bdr w:val="none" w:sz="0" w:space="0" w:color="auto" w:frame="1"/>
        </w:rPr>
        <w:t>•The petitioner has counsel in the district;</w:t>
      </w:r>
    </w:p>
    <w:p w:rsidR="00F9127E" w:rsidRPr="00F9127E" w:rsidRDefault="00F9127E" w:rsidP="00F9127E">
      <w:pPr>
        <w:numPr>
          <w:ilvl w:val="0"/>
          <w:numId w:val="1"/>
        </w:numPr>
        <w:ind w:left="0"/>
        <w:textAlignment w:val="baseline"/>
        <w:rPr>
          <w:rFonts w:ascii="inherit" w:eastAsia="Times New Roman" w:hAnsi="inherit" w:cs="Times New Roman"/>
          <w:color w:val="373739"/>
          <w:sz w:val="21"/>
          <w:szCs w:val="21"/>
        </w:rPr>
      </w:pPr>
      <w:r w:rsidRPr="00F9127E">
        <w:rPr>
          <w:rFonts w:ascii="inherit" w:eastAsia="Times New Roman" w:hAnsi="inherit" w:cs="Times New Roman"/>
          <w:color w:val="373739"/>
          <w:sz w:val="21"/>
          <w:szCs w:val="21"/>
          <w:bdr w:val="none" w:sz="0" w:space="0" w:color="auto" w:frame="1"/>
        </w:rPr>
        <w:t>•The criminal activity or a conviction underlying the order of removal occurred in the district or state;</w:t>
      </w:r>
    </w:p>
    <w:p w:rsidR="00F9127E" w:rsidRPr="00F9127E" w:rsidRDefault="00F9127E" w:rsidP="00F9127E">
      <w:pPr>
        <w:numPr>
          <w:ilvl w:val="0"/>
          <w:numId w:val="1"/>
        </w:numPr>
        <w:ind w:left="0"/>
        <w:textAlignment w:val="baseline"/>
        <w:rPr>
          <w:rFonts w:ascii="inherit" w:eastAsia="Times New Roman" w:hAnsi="inherit" w:cs="Times New Roman"/>
          <w:color w:val="373739"/>
          <w:sz w:val="21"/>
          <w:szCs w:val="21"/>
        </w:rPr>
      </w:pPr>
      <w:r w:rsidRPr="00F9127E">
        <w:rPr>
          <w:rFonts w:ascii="inherit" w:eastAsia="Times New Roman" w:hAnsi="inherit" w:cs="Times New Roman"/>
          <w:color w:val="373739"/>
          <w:sz w:val="21"/>
          <w:szCs w:val="21"/>
          <w:bdr w:val="none" w:sz="0" w:space="0" w:color="auto" w:frame="1"/>
        </w:rPr>
        <w:t>•The petitioner’s deportation/removal proceedings or first contact with the immigration authorities occurred in the district; and/or</w:t>
      </w:r>
    </w:p>
    <w:p w:rsidR="00F9127E" w:rsidRPr="00F9127E" w:rsidRDefault="00F9127E" w:rsidP="00F9127E">
      <w:pPr>
        <w:numPr>
          <w:ilvl w:val="0"/>
          <w:numId w:val="1"/>
        </w:numPr>
        <w:ind w:left="0"/>
        <w:textAlignment w:val="baseline"/>
        <w:rPr>
          <w:rFonts w:ascii="inherit" w:eastAsia="Times New Roman" w:hAnsi="inherit" w:cs="Times New Roman"/>
          <w:color w:val="373739"/>
          <w:sz w:val="21"/>
          <w:szCs w:val="21"/>
        </w:rPr>
      </w:pPr>
      <w:r w:rsidRPr="00F9127E">
        <w:rPr>
          <w:rFonts w:ascii="inherit" w:eastAsia="Times New Roman" w:hAnsi="inherit" w:cs="Times New Roman"/>
          <w:color w:val="373739"/>
          <w:sz w:val="21"/>
          <w:szCs w:val="21"/>
          <w:bdr w:val="none" w:sz="0" w:space="0" w:color="auto" w:frame="1"/>
        </w:rPr>
        <w:t>•The petitioner had no connection to the jurisdiction in which she is detained before being sent to a facility there.</w:t>
      </w:r>
    </w:p>
    <w:p w:rsidR="00F9127E" w:rsidRPr="00F9127E" w:rsidRDefault="00F9127E" w:rsidP="00F9127E">
      <w:pPr>
        <w:textAlignment w:val="baseline"/>
        <w:rPr>
          <w:rFonts w:ascii="Helvetica" w:eastAsia="Times New Roman" w:hAnsi="Helvetica" w:cs="Times New Roman"/>
          <w:color w:val="373739"/>
          <w:sz w:val="21"/>
          <w:szCs w:val="21"/>
        </w:rPr>
      </w:pPr>
      <w:r w:rsidRPr="00F9127E">
        <w:rPr>
          <w:rFonts w:ascii="Helvetica" w:eastAsia="Times New Roman" w:hAnsi="Helvetica" w:cs="Times New Roman"/>
          <w:color w:val="373739"/>
          <w:sz w:val="21"/>
          <w:szCs w:val="21"/>
        </w:rPr>
        <w:t>Additional factors for determining proper venue may include where the material events at issue took place, where records and witnesses relevant to the petitioner’s claim are to be found, and the convenience of the forum for both the petitioner and the respondent. Cases may be transferred from circuit courts to the district courts, or vice versa, to satisfy jurisdictional criteria and statutory bars.</w:t>
      </w:r>
    </w:p>
    <w:p w:rsidR="00F9127E" w:rsidRPr="00F9127E" w:rsidRDefault="00F9127E" w:rsidP="00F9127E">
      <w:pPr>
        <w:rPr>
          <w:rFonts w:ascii="Times New Roman" w:eastAsia="Times New Roman" w:hAnsi="Times New Roman" w:cs="Times New Roman"/>
        </w:rPr>
      </w:pPr>
      <w:r w:rsidRPr="00F9127E">
        <w:rPr>
          <w:rFonts w:ascii="Helvetica" w:eastAsia="Times New Roman" w:hAnsi="Helvetica" w:cs="Times New Roman"/>
          <w:color w:val="373739"/>
          <w:sz w:val="21"/>
          <w:szCs w:val="21"/>
        </w:rPr>
        <w:br/>
      </w:r>
      <w:r w:rsidRPr="00F9127E">
        <w:rPr>
          <w:rFonts w:ascii="Helvetica" w:eastAsia="Times New Roman" w:hAnsi="Helvetica" w:cs="Times New Roman"/>
          <w:color w:val="373739"/>
          <w:sz w:val="21"/>
          <w:szCs w:val="21"/>
        </w:rPr>
        <w:br/>
      </w:r>
      <w:r w:rsidRPr="00F9127E">
        <w:rPr>
          <w:rFonts w:ascii="Helvetica" w:eastAsia="Times New Roman" w:hAnsi="Helvetica" w:cs="Times New Roman"/>
          <w:color w:val="373739"/>
          <w:sz w:val="21"/>
          <w:szCs w:val="21"/>
          <w:shd w:val="clear" w:color="auto" w:fill="FFFFFF"/>
        </w:rPr>
        <w:t>8 Immigration Law and Procedure § 104.04 (2019)</w:t>
      </w:r>
    </w:p>
    <w:p w:rsidR="002D0EA1" w:rsidRDefault="002D0EA1">
      <w:bookmarkStart w:id="0" w:name="_GoBack"/>
      <w:bookmarkEnd w:id="0"/>
    </w:p>
    <w:sectPr w:rsidR="002D0EA1" w:rsidSect="00D76A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inheri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904C3"/>
    <w:multiLevelType w:val="multilevel"/>
    <w:tmpl w:val="97924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0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27E"/>
    <w:rsid w:val="002D0EA1"/>
    <w:rsid w:val="003219CA"/>
    <w:rsid w:val="00975326"/>
    <w:rsid w:val="00A07AD1"/>
    <w:rsid w:val="00C70DA9"/>
    <w:rsid w:val="00CF462B"/>
    <w:rsid w:val="00D76A0B"/>
    <w:rsid w:val="00F91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7C44114"/>
  <w15:chartTrackingRefBased/>
  <w15:docId w15:val="{FD1808C0-6FBA-1845-A7B7-C35CAA507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listitemcontent">
    <w:name w:val="ss_listitemcontent"/>
    <w:basedOn w:val="DefaultParagraphFont"/>
    <w:rsid w:val="00F9127E"/>
  </w:style>
  <w:style w:type="paragraph" w:styleId="NormalWeb">
    <w:name w:val="Normal (Web)"/>
    <w:basedOn w:val="Normal"/>
    <w:uiPriority w:val="99"/>
    <w:semiHidden/>
    <w:unhideWhenUsed/>
    <w:rsid w:val="00F9127E"/>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F9127E"/>
  </w:style>
  <w:style w:type="character" w:customStyle="1" w:styleId="ssprior">
    <w:name w:val="ss_prior"/>
    <w:basedOn w:val="DefaultParagraphFont"/>
    <w:rsid w:val="00F9127E"/>
  </w:style>
  <w:style w:type="character" w:customStyle="1" w:styleId="sslistlabel">
    <w:name w:val="ss_listlabel"/>
    <w:basedOn w:val="DefaultParagraphFont"/>
    <w:rsid w:val="00F91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04077">
      <w:bodyDiv w:val="1"/>
      <w:marLeft w:val="0"/>
      <w:marRight w:val="0"/>
      <w:marTop w:val="0"/>
      <w:marBottom w:val="0"/>
      <w:divBdr>
        <w:top w:val="none" w:sz="0" w:space="0" w:color="auto"/>
        <w:left w:val="none" w:sz="0" w:space="0" w:color="auto"/>
        <w:bottom w:val="none" w:sz="0" w:space="0" w:color="auto"/>
        <w:right w:val="none" w:sz="0" w:space="0" w:color="auto"/>
      </w:divBdr>
      <w:divsChild>
        <w:div w:id="17143051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1645</Characters>
  <Application>Microsoft Office Word</Application>
  <DocSecurity>0</DocSecurity>
  <Lines>26</Lines>
  <Paragraphs>11</Paragraphs>
  <ScaleCrop>false</ScaleCrop>
  <HeadingPairs>
    <vt:vector size="2" baseType="variant">
      <vt:variant>
        <vt:lpstr>Title</vt:lpstr>
      </vt:variant>
      <vt:variant>
        <vt:i4>1</vt:i4>
      </vt:variant>
    </vt:vector>
  </HeadingPairs>
  <TitlesOfParts>
    <vt:vector size="1" baseType="lpstr">
      <vt:lpstr/>
    </vt:vector>
  </TitlesOfParts>
  <Manager/>
  <Company>Law Office of William Frick</Company>
  <LinksUpToDate>false</LinksUpToDate>
  <CharactersWithSpaces>1939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1</cp:revision>
  <dcterms:created xsi:type="dcterms:W3CDTF">2019-12-10T03:20:00Z</dcterms:created>
  <dcterms:modified xsi:type="dcterms:W3CDTF">2019-12-10T03:20:00Z</dcterms:modified>
  <cp:category/>
</cp:coreProperties>
</file>